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B7" w:rsidRPr="00CB3EB9" w:rsidRDefault="00CB3EB9" w:rsidP="00CB3EB9">
      <w:pPr>
        <w:jc w:val="center"/>
        <w:rPr>
          <w:b/>
          <w:sz w:val="48"/>
          <w:szCs w:val="48"/>
        </w:rPr>
      </w:pPr>
      <w:r w:rsidRPr="00CB3EB9">
        <w:rPr>
          <w:b/>
          <w:sz w:val="48"/>
          <w:szCs w:val="48"/>
        </w:rPr>
        <w:t>Table des matières</w:t>
      </w:r>
    </w:p>
    <w:p w:rsidR="00CB3EB9" w:rsidRDefault="00CB3EB9"/>
    <w:p w:rsidR="00894407" w:rsidRDefault="00894407"/>
    <w:p w:rsidR="00894407" w:rsidRDefault="00894407"/>
    <w:p w:rsidR="00894407" w:rsidRPr="003E79F2" w:rsidRDefault="00894407" w:rsidP="00894407">
      <w:pPr>
        <w:rPr>
          <w:rFonts w:cs="Times New Roman"/>
          <w:szCs w:val="24"/>
        </w:rPr>
      </w:pPr>
      <w:r w:rsidRPr="003E79F2">
        <w:rPr>
          <w:rFonts w:cs="Times New Roman"/>
          <w:szCs w:val="24"/>
        </w:rPr>
        <w:t>INTRODUC</w:t>
      </w:r>
      <w:r>
        <w:rPr>
          <w:rFonts w:cs="Times New Roman"/>
          <w:szCs w:val="24"/>
        </w:rPr>
        <w:t>T</w:t>
      </w:r>
      <w:r w:rsidRPr="003E79F2">
        <w:rPr>
          <w:rFonts w:cs="Times New Roman"/>
          <w:szCs w:val="24"/>
        </w:rPr>
        <w:t>ION</w:t>
      </w:r>
    </w:p>
    <w:p w:rsidR="00894407" w:rsidRPr="00330BE6" w:rsidRDefault="00894407" w:rsidP="00894407">
      <w:pPr>
        <w:ind w:left="284"/>
        <w:rPr>
          <w:rFonts w:cs="Times New Roman"/>
          <w:szCs w:val="24"/>
        </w:rPr>
      </w:pPr>
      <w:r w:rsidRPr="00330BE6">
        <w:rPr>
          <w:rFonts w:cs="Times New Roman"/>
          <w:szCs w:val="24"/>
        </w:rPr>
        <w:t>Olivier LECUCQ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330BE6" w:rsidRDefault="00894407" w:rsidP="00894407">
      <w:pPr>
        <w:rPr>
          <w:rFonts w:cs="Times New Roman"/>
          <w:szCs w:val="24"/>
        </w:rPr>
      </w:pPr>
    </w:p>
    <w:p w:rsidR="00894407" w:rsidRPr="00FB0202" w:rsidRDefault="00894407" w:rsidP="00894407">
      <w:pPr>
        <w:jc w:val="center"/>
        <w:rPr>
          <w:rFonts w:cs="Times New Roman"/>
          <w:b/>
          <w:sz w:val="28"/>
          <w:szCs w:val="28"/>
        </w:rPr>
      </w:pPr>
      <w:r w:rsidRPr="00FB0202">
        <w:rPr>
          <w:rFonts w:cs="Times New Roman"/>
          <w:b/>
          <w:sz w:val="28"/>
          <w:szCs w:val="28"/>
        </w:rPr>
        <w:t>Première partie</w:t>
      </w:r>
    </w:p>
    <w:p w:rsidR="00894407" w:rsidRPr="00FB0202" w:rsidRDefault="00894407" w:rsidP="00894407">
      <w:pPr>
        <w:jc w:val="center"/>
        <w:rPr>
          <w:rFonts w:cs="Times New Roman"/>
          <w:b/>
          <w:sz w:val="28"/>
          <w:szCs w:val="28"/>
        </w:rPr>
      </w:pPr>
      <w:r w:rsidRPr="00FB0202">
        <w:rPr>
          <w:rFonts w:cs="Times New Roman"/>
          <w:b/>
          <w:sz w:val="28"/>
          <w:szCs w:val="28"/>
        </w:rPr>
        <w:t>L’exécution des décisions de justice</w:t>
      </w:r>
      <w:r>
        <w:rPr>
          <w:rFonts w:cs="Times New Roman"/>
          <w:b/>
          <w:sz w:val="28"/>
          <w:szCs w:val="28"/>
        </w:rPr>
        <w:t xml:space="preserve"> en droit interne</w:t>
      </w:r>
    </w:p>
    <w:p w:rsidR="00894407" w:rsidRDefault="00894407" w:rsidP="00894407">
      <w:pPr>
        <w:jc w:val="center"/>
        <w:rPr>
          <w:rFonts w:cs="Times New Roman"/>
          <w:b/>
          <w:szCs w:val="24"/>
        </w:rPr>
      </w:pPr>
    </w:p>
    <w:p w:rsidR="00894407" w:rsidRPr="00330BE6" w:rsidRDefault="00894407" w:rsidP="00894407">
      <w:pPr>
        <w:jc w:val="center"/>
        <w:rPr>
          <w:rFonts w:cs="Times New Roman"/>
          <w:b/>
          <w:szCs w:val="24"/>
        </w:rPr>
      </w:pPr>
    </w:p>
    <w:p w:rsidR="00894407" w:rsidRPr="00FB0202" w:rsidRDefault="00894407" w:rsidP="00894407">
      <w:pPr>
        <w:rPr>
          <w:rFonts w:cs="Times New Roman"/>
          <w:b/>
          <w:szCs w:val="24"/>
        </w:rPr>
      </w:pPr>
      <w:r w:rsidRPr="00FB0202">
        <w:rPr>
          <w:rFonts w:cs="Times New Roman"/>
          <w:b/>
          <w:szCs w:val="24"/>
        </w:rPr>
        <w:t>Les cas américains</w:t>
      </w:r>
    </w:p>
    <w:p w:rsidR="00894407" w:rsidRDefault="00894407" w:rsidP="00894407">
      <w:pPr>
        <w:jc w:val="center"/>
        <w:rPr>
          <w:rFonts w:cs="Times New Roman"/>
          <w:szCs w:val="24"/>
        </w:rPr>
      </w:pPr>
    </w:p>
    <w:p w:rsidR="00894407" w:rsidRPr="00ED6D7D" w:rsidRDefault="00894407" w:rsidP="00894407">
      <w:pPr>
        <w:rPr>
          <w:rFonts w:cs="Times New Roman"/>
          <w:i/>
          <w:szCs w:val="24"/>
        </w:rPr>
      </w:pPr>
      <w:r w:rsidRPr="00ED6D7D">
        <w:rPr>
          <w:rFonts w:cs="Times New Roman"/>
          <w:i/>
          <w:szCs w:val="24"/>
        </w:rPr>
        <w:t>Québec</w:t>
      </w:r>
    </w:p>
    <w:p w:rsidR="003C0F75" w:rsidRDefault="003C0F75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L’exécution des jugements civils au Québec</w:t>
      </w:r>
    </w:p>
    <w:p w:rsidR="00894407" w:rsidRPr="003C0F75" w:rsidRDefault="003C0F75" w:rsidP="00894407">
      <w:pPr>
        <w:ind w:left="284"/>
        <w:rPr>
          <w:rFonts w:cs="Times New Roman"/>
          <w:i/>
          <w:szCs w:val="24"/>
        </w:rPr>
      </w:pPr>
      <w:proofErr w:type="gramStart"/>
      <w:r>
        <w:rPr>
          <w:rFonts w:cs="Times New Roman"/>
          <w:i/>
          <w:szCs w:val="24"/>
        </w:rPr>
        <w:t>p</w:t>
      </w:r>
      <w:r w:rsidRPr="003C0F75">
        <w:rPr>
          <w:rFonts w:cs="Times New Roman"/>
          <w:i/>
          <w:szCs w:val="24"/>
        </w:rPr>
        <w:t>ar</w:t>
      </w:r>
      <w:proofErr w:type="gramEnd"/>
      <w:r w:rsidRPr="003C0F75">
        <w:rPr>
          <w:rFonts w:cs="Times New Roman"/>
          <w:i/>
          <w:szCs w:val="24"/>
        </w:rPr>
        <w:t xml:space="preserve"> </w:t>
      </w:r>
      <w:r w:rsidR="00894407" w:rsidRPr="003C0F75">
        <w:rPr>
          <w:rFonts w:cs="Times New Roman"/>
          <w:i/>
          <w:szCs w:val="24"/>
        </w:rPr>
        <w:t>Rudy LAHER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ED6D7D" w:rsidRDefault="00894407" w:rsidP="00894407">
      <w:pPr>
        <w:rPr>
          <w:rFonts w:cs="Times New Roman"/>
          <w:i/>
          <w:szCs w:val="24"/>
        </w:rPr>
      </w:pPr>
      <w:r w:rsidRPr="00ED6D7D">
        <w:rPr>
          <w:rFonts w:cs="Times New Roman"/>
          <w:i/>
          <w:szCs w:val="24"/>
        </w:rPr>
        <w:t>Brésil</w:t>
      </w:r>
    </w:p>
    <w:p w:rsidR="003C0F75" w:rsidRDefault="003C0F75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 mesures atypiques d’exécution des décisions de justice : </w:t>
      </w:r>
    </w:p>
    <w:p w:rsidR="003C0F75" w:rsidRDefault="003C0F75" w:rsidP="00894407">
      <w:pPr>
        <w:ind w:left="284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regard</w:t>
      </w:r>
      <w:proofErr w:type="gramEnd"/>
      <w:r>
        <w:rPr>
          <w:rFonts w:cs="Times New Roman"/>
          <w:szCs w:val="24"/>
        </w:rPr>
        <w:t xml:space="preserve"> actuel sur un moyen procédural brésilien pour la protection de l’environnement</w:t>
      </w:r>
    </w:p>
    <w:p w:rsidR="00894407" w:rsidRPr="003C0F75" w:rsidRDefault="003C0F75" w:rsidP="00894407">
      <w:pPr>
        <w:ind w:left="284"/>
        <w:rPr>
          <w:rFonts w:cs="Times New Roman"/>
          <w:i/>
          <w:szCs w:val="24"/>
        </w:rPr>
      </w:pPr>
      <w:proofErr w:type="gramStart"/>
      <w:r w:rsidRPr="003C0F75">
        <w:rPr>
          <w:rFonts w:cs="Times New Roman"/>
          <w:i/>
          <w:szCs w:val="24"/>
        </w:rPr>
        <w:t>par</w:t>
      </w:r>
      <w:proofErr w:type="gramEnd"/>
      <w:r w:rsidRPr="003C0F75">
        <w:rPr>
          <w:rFonts w:cs="Times New Roman"/>
          <w:i/>
          <w:szCs w:val="24"/>
        </w:rPr>
        <w:t xml:space="preserve"> </w:t>
      </w:r>
      <w:r w:rsidR="00894407" w:rsidRPr="003C0F75">
        <w:rPr>
          <w:rFonts w:cs="Times New Roman"/>
          <w:i/>
          <w:szCs w:val="24"/>
        </w:rPr>
        <w:t>Denise TEIXEIRA DE OLIVEIRA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FB0202" w:rsidRDefault="00894407" w:rsidP="00894407">
      <w:pPr>
        <w:rPr>
          <w:rFonts w:cs="Times New Roman"/>
          <w:b/>
          <w:szCs w:val="24"/>
        </w:rPr>
      </w:pPr>
      <w:r w:rsidRPr="00FB0202">
        <w:rPr>
          <w:rFonts w:cs="Times New Roman"/>
          <w:b/>
          <w:szCs w:val="24"/>
        </w:rPr>
        <w:t>Les cas européens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4663A7" w:rsidRDefault="00894407" w:rsidP="00894407">
      <w:pPr>
        <w:rPr>
          <w:rFonts w:cs="Times New Roman"/>
          <w:i/>
          <w:szCs w:val="24"/>
        </w:rPr>
      </w:pPr>
      <w:r w:rsidRPr="004663A7">
        <w:rPr>
          <w:rFonts w:cs="Times New Roman"/>
          <w:i/>
          <w:szCs w:val="24"/>
        </w:rPr>
        <w:t>Espagne</w:t>
      </w:r>
    </w:p>
    <w:p w:rsidR="00385378" w:rsidRDefault="00385378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Une justice en transition : les mesures de grâces et la torture au Pays basque</w:t>
      </w:r>
    </w:p>
    <w:p w:rsidR="00894407" w:rsidRPr="00385378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3C0F75">
        <w:rPr>
          <w:rFonts w:cs="Times New Roman"/>
          <w:i/>
          <w:szCs w:val="24"/>
        </w:rPr>
        <w:t>p</w:t>
      </w:r>
      <w:r>
        <w:rPr>
          <w:rFonts w:cs="Times New Roman"/>
          <w:i/>
          <w:szCs w:val="24"/>
        </w:rPr>
        <w:t>ar</w:t>
      </w:r>
      <w:proofErr w:type="gramEnd"/>
      <w:r w:rsidRPr="003C0F75">
        <w:rPr>
          <w:rFonts w:cs="Times New Roman"/>
          <w:i/>
          <w:szCs w:val="24"/>
        </w:rPr>
        <w:t xml:space="preserve"> </w:t>
      </w:r>
      <w:r w:rsidR="00894407" w:rsidRPr="00385378">
        <w:rPr>
          <w:rFonts w:cs="Times New Roman"/>
          <w:i/>
          <w:szCs w:val="24"/>
        </w:rPr>
        <w:t>Pauline GUELLE</w:t>
      </w:r>
    </w:p>
    <w:p w:rsidR="00385378" w:rsidRDefault="00385378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La loi organique 15/2015 du 16 octobre de modification de la loi organique 2/1979 du 3 octobre relative au Tribunal constitutionnel :</w:t>
      </w:r>
    </w:p>
    <w:p w:rsidR="00385378" w:rsidRDefault="00385378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Brève réflexion à propos d’une réforme discutable</w:t>
      </w:r>
    </w:p>
    <w:p w:rsidR="00894407" w:rsidRPr="00385378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3C0F75">
        <w:rPr>
          <w:rFonts w:cs="Times New Roman"/>
          <w:i/>
          <w:szCs w:val="24"/>
        </w:rPr>
        <w:t>p</w:t>
      </w:r>
      <w:r>
        <w:rPr>
          <w:rFonts w:cs="Times New Roman"/>
          <w:i/>
          <w:szCs w:val="24"/>
        </w:rPr>
        <w:t>ar</w:t>
      </w:r>
      <w:proofErr w:type="gramEnd"/>
      <w:r w:rsidRPr="003C0F75">
        <w:rPr>
          <w:rFonts w:cs="Times New Roman"/>
          <w:i/>
          <w:szCs w:val="24"/>
        </w:rPr>
        <w:t xml:space="preserve"> </w:t>
      </w:r>
      <w:r w:rsidR="00894407" w:rsidRPr="00385378">
        <w:rPr>
          <w:rFonts w:cs="Times New Roman"/>
          <w:i/>
          <w:szCs w:val="24"/>
        </w:rPr>
        <w:t>Hubert ALCARAZ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4663A7" w:rsidRDefault="00894407" w:rsidP="00894407">
      <w:pPr>
        <w:rPr>
          <w:rFonts w:cs="Times New Roman"/>
          <w:i/>
          <w:szCs w:val="24"/>
        </w:rPr>
      </w:pPr>
      <w:r w:rsidRPr="004663A7">
        <w:rPr>
          <w:rFonts w:cs="Times New Roman"/>
          <w:i/>
          <w:szCs w:val="24"/>
        </w:rPr>
        <w:t>France</w:t>
      </w:r>
    </w:p>
    <w:p w:rsidR="00894407" w:rsidRDefault="00894407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L’inexécution légale des décisions de justice en matière civile et commerciale</w:t>
      </w:r>
    </w:p>
    <w:p w:rsidR="00894407" w:rsidRPr="003C0F75" w:rsidRDefault="00894407" w:rsidP="00894407">
      <w:pPr>
        <w:ind w:left="284"/>
        <w:rPr>
          <w:rFonts w:cs="Times New Roman"/>
          <w:i/>
          <w:szCs w:val="24"/>
        </w:rPr>
      </w:pPr>
      <w:proofErr w:type="gramStart"/>
      <w:r w:rsidRPr="003C0F75">
        <w:rPr>
          <w:rFonts w:cs="Times New Roman"/>
          <w:i/>
          <w:szCs w:val="24"/>
        </w:rPr>
        <w:t>p</w:t>
      </w:r>
      <w:r w:rsidR="00385378">
        <w:rPr>
          <w:rFonts w:cs="Times New Roman"/>
          <w:i/>
          <w:szCs w:val="24"/>
        </w:rPr>
        <w:t>ar</w:t>
      </w:r>
      <w:proofErr w:type="gramEnd"/>
      <w:r w:rsidRPr="003C0F75">
        <w:rPr>
          <w:rFonts w:cs="Times New Roman"/>
          <w:i/>
          <w:szCs w:val="24"/>
        </w:rPr>
        <w:t xml:space="preserve"> </w:t>
      </w:r>
      <w:r w:rsidRPr="003C0F75">
        <w:rPr>
          <w:rFonts w:cs="Times New Roman"/>
          <w:i/>
          <w:szCs w:val="24"/>
        </w:rPr>
        <w:t>Delphine de SAINT-DENIS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330BE6" w:rsidRDefault="00894407" w:rsidP="00894407">
      <w:pPr>
        <w:rPr>
          <w:rFonts w:cs="Times New Roman"/>
          <w:szCs w:val="24"/>
        </w:rPr>
      </w:pPr>
    </w:p>
    <w:p w:rsidR="00894407" w:rsidRPr="00FB0202" w:rsidRDefault="00894407" w:rsidP="0089440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Seconde</w:t>
      </w:r>
      <w:r w:rsidRPr="00FB0202">
        <w:rPr>
          <w:rFonts w:cs="Times New Roman"/>
          <w:b/>
          <w:sz w:val="28"/>
          <w:szCs w:val="28"/>
        </w:rPr>
        <w:t xml:space="preserve"> partie</w:t>
      </w:r>
    </w:p>
    <w:p w:rsidR="00894407" w:rsidRPr="00FB0202" w:rsidRDefault="00894407" w:rsidP="00894407">
      <w:pPr>
        <w:jc w:val="center"/>
        <w:rPr>
          <w:rFonts w:cs="Times New Roman"/>
          <w:b/>
          <w:sz w:val="28"/>
          <w:szCs w:val="28"/>
        </w:rPr>
      </w:pPr>
      <w:r w:rsidRPr="00FB0202">
        <w:rPr>
          <w:rFonts w:cs="Times New Roman"/>
          <w:b/>
          <w:sz w:val="28"/>
          <w:szCs w:val="28"/>
        </w:rPr>
        <w:t>L’exécution des décisions de justice en droit international</w:t>
      </w:r>
    </w:p>
    <w:p w:rsidR="00894407" w:rsidRDefault="00894407" w:rsidP="00894407">
      <w:pPr>
        <w:jc w:val="center"/>
        <w:rPr>
          <w:rFonts w:cs="Times New Roman"/>
          <w:b/>
          <w:szCs w:val="24"/>
        </w:rPr>
      </w:pPr>
    </w:p>
    <w:p w:rsidR="00894407" w:rsidRDefault="00894407" w:rsidP="00894407">
      <w:pPr>
        <w:jc w:val="center"/>
        <w:rPr>
          <w:rFonts w:cs="Times New Roman"/>
          <w:b/>
          <w:szCs w:val="24"/>
        </w:rPr>
      </w:pPr>
    </w:p>
    <w:p w:rsidR="00894407" w:rsidRPr="00FB0202" w:rsidRDefault="00894407" w:rsidP="00894407">
      <w:pPr>
        <w:rPr>
          <w:rFonts w:cs="Times New Roman"/>
          <w:b/>
          <w:szCs w:val="24"/>
        </w:rPr>
      </w:pPr>
      <w:r w:rsidRPr="00FB0202">
        <w:rPr>
          <w:rFonts w:cs="Times New Roman"/>
          <w:b/>
          <w:szCs w:val="24"/>
        </w:rPr>
        <w:t>Le cas des juridictions internationales</w:t>
      </w:r>
    </w:p>
    <w:p w:rsidR="00894407" w:rsidRDefault="00894407" w:rsidP="00894407">
      <w:pPr>
        <w:rPr>
          <w:rFonts w:cs="Times New Roman"/>
          <w:szCs w:val="24"/>
        </w:rPr>
      </w:pPr>
    </w:p>
    <w:p w:rsidR="00AA41DA" w:rsidRPr="00AA41DA" w:rsidRDefault="00AA41DA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Peut-on encore parler de marge d’appréciation de l’état dans l’exécution des jugements déclaratoires en matière de droit de l’homme ?</w:t>
      </w:r>
    </w:p>
    <w:p w:rsidR="00894407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AA41DA">
        <w:rPr>
          <w:rFonts w:cs="Times New Roman"/>
          <w:i/>
          <w:szCs w:val="24"/>
        </w:rPr>
        <w:t>par</w:t>
      </w:r>
      <w:proofErr w:type="gramEnd"/>
      <w:r w:rsidRPr="00AA41DA">
        <w:rPr>
          <w:rFonts w:cs="Times New Roman"/>
          <w:i/>
          <w:szCs w:val="24"/>
        </w:rPr>
        <w:t xml:space="preserve"> </w:t>
      </w:r>
      <w:proofErr w:type="spellStart"/>
      <w:r w:rsidR="00894407" w:rsidRPr="00AA41DA">
        <w:rPr>
          <w:rFonts w:cs="Times New Roman"/>
          <w:i/>
          <w:szCs w:val="24"/>
        </w:rPr>
        <w:t>Mahaliana</w:t>
      </w:r>
      <w:proofErr w:type="spellEnd"/>
      <w:r w:rsidR="00894407" w:rsidRPr="00AA41DA">
        <w:rPr>
          <w:rFonts w:cs="Times New Roman"/>
          <w:i/>
          <w:szCs w:val="24"/>
        </w:rPr>
        <w:t xml:space="preserve"> RAVALOSON</w:t>
      </w:r>
    </w:p>
    <w:p w:rsidR="00AA41DA" w:rsidRDefault="00AA41DA" w:rsidP="00894407">
      <w:pPr>
        <w:ind w:left="284"/>
        <w:rPr>
          <w:rFonts w:cs="Times New Roman"/>
          <w:i/>
          <w:szCs w:val="24"/>
        </w:rPr>
      </w:pPr>
    </w:p>
    <w:p w:rsidR="00AA41DA" w:rsidRPr="00AA41DA" w:rsidRDefault="00AA41DA" w:rsidP="00894407">
      <w:pPr>
        <w:ind w:left="284"/>
        <w:rPr>
          <w:rFonts w:cs="Times New Roman"/>
          <w:szCs w:val="24"/>
        </w:rPr>
      </w:pPr>
      <w:r w:rsidRPr="00AA41DA">
        <w:rPr>
          <w:rFonts w:cs="Times New Roman"/>
          <w:szCs w:val="24"/>
        </w:rPr>
        <w:t>L’efficacité de la procédure d’exécution des jugements étrangers en droit international privé français</w:t>
      </w:r>
    </w:p>
    <w:p w:rsidR="00894407" w:rsidRPr="00AA41DA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AA41DA">
        <w:rPr>
          <w:rFonts w:cs="Times New Roman"/>
          <w:i/>
          <w:szCs w:val="24"/>
        </w:rPr>
        <w:t>par</w:t>
      </w:r>
      <w:proofErr w:type="gramEnd"/>
      <w:r w:rsidRPr="00AA41DA">
        <w:rPr>
          <w:rFonts w:cs="Times New Roman"/>
          <w:i/>
          <w:szCs w:val="24"/>
        </w:rPr>
        <w:t xml:space="preserve"> </w:t>
      </w:r>
      <w:r w:rsidR="00894407" w:rsidRPr="00AA41DA">
        <w:rPr>
          <w:rFonts w:cs="Times New Roman"/>
          <w:i/>
          <w:szCs w:val="24"/>
        </w:rPr>
        <w:t>Aude LELOUVIER</w:t>
      </w:r>
    </w:p>
    <w:p w:rsidR="00AA41DA" w:rsidRDefault="00AA41DA" w:rsidP="00894407">
      <w:pPr>
        <w:ind w:left="284"/>
        <w:rPr>
          <w:rFonts w:cs="Times New Roman"/>
          <w:szCs w:val="24"/>
        </w:rPr>
      </w:pPr>
    </w:p>
    <w:p w:rsidR="00AA41DA" w:rsidRPr="00ED6D7D" w:rsidRDefault="00AA41DA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L’exécution des décisions de la Cour pénale internationale : particularismes et perspectives</w:t>
      </w:r>
    </w:p>
    <w:p w:rsidR="00894407" w:rsidRPr="00AA41DA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AA41DA">
        <w:rPr>
          <w:rFonts w:cs="Times New Roman"/>
          <w:i/>
          <w:szCs w:val="24"/>
        </w:rPr>
        <w:t>par</w:t>
      </w:r>
      <w:proofErr w:type="gramEnd"/>
      <w:r w:rsidRPr="00AA41DA">
        <w:rPr>
          <w:rFonts w:cs="Times New Roman"/>
          <w:i/>
          <w:szCs w:val="24"/>
        </w:rPr>
        <w:t xml:space="preserve"> </w:t>
      </w:r>
      <w:r w:rsidR="00894407" w:rsidRPr="00AA41DA">
        <w:rPr>
          <w:rFonts w:cs="Times New Roman"/>
          <w:i/>
          <w:szCs w:val="24"/>
        </w:rPr>
        <w:t>Virginie SAINT-JAMES</w:t>
      </w:r>
    </w:p>
    <w:p w:rsidR="00AA41DA" w:rsidRDefault="00AA41DA" w:rsidP="00894407">
      <w:pPr>
        <w:ind w:left="284"/>
        <w:rPr>
          <w:rFonts w:cs="Times New Roman"/>
          <w:szCs w:val="24"/>
        </w:rPr>
      </w:pPr>
    </w:p>
    <w:p w:rsidR="00AA41DA" w:rsidRDefault="00AA41DA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Convention de La Haye du 2 juillet 2019 sur la reconnaissance et l’exécution des jugements étrangers en matière civile ou commerciale</w:t>
      </w:r>
    </w:p>
    <w:p w:rsidR="00894407" w:rsidRPr="00AA41DA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AA41DA">
        <w:rPr>
          <w:rFonts w:cs="Times New Roman"/>
          <w:i/>
          <w:szCs w:val="24"/>
        </w:rPr>
        <w:t>par</w:t>
      </w:r>
      <w:proofErr w:type="gramEnd"/>
      <w:r w:rsidRPr="00AA41DA">
        <w:rPr>
          <w:rFonts w:cs="Times New Roman"/>
          <w:i/>
          <w:szCs w:val="24"/>
        </w:rPr>
        <w:t xml:space="preserve"> </w:t>
      </w:r>
      <w:r w:rsidR="00894407" w:rsidRPr="00AA41DA">
        <w:rPr>
          <w:rFonts w:cs="Times New Roman"/>
          <w:i/>
          <w:szCs w:val="24"/>
        </w:rPr>
        <w:t>Guillaume PAYAN</w:t>
      </w:r>
    </w:p>
    <w:p w:rsidR="00AA41DA" w:rsidRDefault="00AA41DA" w:rsidP="00894407">
      <w:pPr>
        <w:ind w:left="284"/>
        <w:rPr>
          <w:rFonts w:cs="Times New Roman"/>
          <w:szCs w:val="24"/>
        </w:rPr>
      </w:pPr>
    </w:p>
    <w:p w:rsidR="00AA41DA" w:rsidRDefault="000A6993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L’intervention revalorisée de la Cour internationale de Justice : l’exemple des arrêts environnementaux</w:t>
      </w:r>
    </w:p>
    <w:p w:rsidR="00894407" w:rsidRPr="000A6993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0A6993">
        <w:rPr>
          <w:rFonts w:cs="Times New Roman"/>
          <w:i/>
          <w:szCs w:val="24"/>
        </w:rPr>
        <w:t>par</w:t>
      </w:r>
      <w:proofErr w:type="gramEnd"/>
      <w:r w:rsidRPr="000A6993">
        <w:rPr>
          <w:rFonts w:cs="Times New Roman"/>
          <w:i/>
          <w:szCs w:val="24"/>
        </w:rPr>
        <w:t xml:space="preserve"> </w:t>
      </w:r>
      <w:r w:rsidR="00894407" w:rsidRPr="000A6993">
        <w:rPr>
          <w:rFonts w:cs="Times New Roman"/>
          <w:i/>
          <w:szCs w:val="24"/>
        </w:rPr>
        <w:t>Françoise PACCAUD</w:t>
      </w:r>
    </w:p>
    <w:p w:rsidR="00AA41DA" w:rsidRDefault="000A6993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Les difficultés d’exécution des sentences arbitrales au sein de l’espace OHADA</w:t>
      </w:r>
    </w:p>
    <w:p w:rsidR="00894407" w:rsidRPr="000A6993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0A6993">
        <w:rPr>
          <w:rFonts w:cs="Times New Roman"/>
          <w:i/>
          <w:szCs w:val="24"/>
        </w:rPr>
        <w:t>par</w:t>
      </w:r>
      <w:proofErr w:type="gramEnd"/>
      <w:r w:rsidRPr="000A6993">
        <w:rPr>
          <w:rFonts w:cs="Times New Roman"/>
          <w:i/>
          <w:szCs w:val="24"/>
        </w:rPr>
        <w:t xml:space="preserve"> </w:t>
      </w:r>
      <w:r w:rsidR="00894407" w:rsidRPr="000A6993">
        <w:rPr>
          <w:rFonts w:cs="Times New Roman"/>
          <w:i/>
          <w:szCs w:val="24"/>
        </w:rPr>
        <w:t>Yaya ML KONÉ</w:t>
      </w:r>
    </w:p>
    <w:p w:rsidR="00AA41DA" w:rsidRDefault="00AA41DA" w:rsidP="00894407">
      <w:pPr>
        <w:ind w:left="284"/>
        <w:rPr>
          <w:rFonts w:cs="Times New Roman"/>
          <w:szCs w:val="24"/>
        </w:rPr>
      </w:pPr>
    </w:p>
    <w:p w:rsidR="000A6993" w:rsidRDefault="000A6993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L’exécution des décisions des tribunaux du CIRDI</w:t>
      </w:r>
    </w:p>
    <w:p w:rsidR="00894407" w:rsidRPr="000A6993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0A6993">
        <w:rPr>
          <w:rFonts w:cs="Times New Roman"/>
          <w:i/>
          <w:szCs w:val="24"/>
        </w:rPr>
        <w:t>par</w:t>
      </w:r>
      <w:proofErr w:type="gramEnd"/>
      <w:r w:rsidRPr="000A6993">
        <w:rPr>
          <w:rFonts w:cs="Times New Roman"/>
          <w:i/>
          <w:szCs w:val="24"/>
        </w:rPr>
        <w:t xml:space="preserve"> </w:t>
      </w:r>
      <w:r w:rsidR="00894407" w:rsidRPr="000A6993">
        <w:rPr>
          <w:rFonts w:cs="Times New Roman"/>
          <w:i/>
          <w:szCs w:val="24"/>
        </w:rPr>
        <w:t>Karla LUCERO</w:t>
      </w:r>
    </w:p>
    <w:p w:rsidR="00894407" w:rsidRDefault="00894407" w:rsidP="00894407">
      <w:pPr>
        <w:rPr>
          <w:rFonts w:cs="Times New Roman"/>
          <w:szCs w:val="24"/>
        </w:rPr>
      </w:pPr>
    </w:p>
    <w:p w:rsidR="00894407" w:rsidRPr="00FB0202" w:rsidRDefault="00894407" w:rsidP="00894407">
      <w:pPr>
        <w:rPr>
          <w:rFonts w:cs="Times New Roman"/>
          <w:b/>
          <w:szCs w:val="24"/>
        </w:rPr>
      </w:pPr>
      <w:r w:rsidRPr="00FB0202">
        <w:rPr>
          <w:rFonts w:cs="Times New Roman"/>
          <w:b/>
          <w:szCs w:val="24"/>
        </w:rPr>
        <w:t xml:space="preserve">Le cas </w:t>
      </w:r>
      <w:r w:rsidRPr="00E0615E">
        <w:rPr>
          <w:rFonts w:cs="Times New Roman"/>
          <w:b/>
          <w:szCs w:val="24"/>
        </w:rPr>
        <w:t>des</w:t>
      </w:r>
      <w:r w:rsidRPr="00FB0202">
        <w:rPr>
          <w:rFonts w:cs="Times New Roman"/>
          <w:b/>
          <w:szCs w:val="24"/>
        </w:rPr>
        <w:t xml:space="preserve"> juridictions régionales</w:t>
      </w:r>
    </w:p>
    <w:p w:rsidR="00894407" w:rsidRDefault="00894407" w:rsidP="00894407">
      <w:pPr>
        <w:ind w:left="284"/>
        <w:rPr>
          <w:rFonts w:cs="Times New Roman"/>
          <w:szCs w:val="24"/>
        </w:rPr>
      </w:pPr>
    </w:p>
    <w:p w:rsidR="000A6993" w:rsidRDefault="000A6993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L’exécution des arrêts de la Cour européenne des droits de l’Homme en questions :</w:t>
      </w:r>
    </w:p>
    <w:p w:rsidR="000A6993" w:rsidRDefault="000A6993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Réflexions sur le devenir incertain d’une institution</w:t>
      </w:r>
    </w:p>
    <w:p w:rsidR="00894407" w:rsidRPr="000A6993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0A6993">
        <w:rPr>
          <w:rFonts w:cs="Times New Roman"/>
          <w:i/>
          <w:szCs w:val="24"/>
        </w:rPr>
        <w:t>par</w:t>
      </w:r>
      <w:proofErr w:type="gramEnd"/>
      <w:r w:rsidRPr="000A6993">
        <w:rPr>
          <w:rFonts w:cs="Times New Roman"/>
          <w:i/>
          <w:szCs w:val="24"/>
        </w:rPr>
        <w:t xml:space="preserve"> </w:t>
      </w:r>
      <w:r w:rsidR="00894407" w:rsidRPr="000A6993">
        <w:rPr>
          <w:rFonts w:cs="Times New Roman"/>
          <w:i/>
          <w:szCs w:val="24"/>
        </w:rPr>
        <w:t>Catherine GAUTHIER</w:t>
      </w:r>
    </w:p>
    <w:p w:rsidR="000A6993" w:rsidRDefault="000A6993" w:rsidP="00894407">
      <w:pPr>
        <w:ind w:left="284"/>
        <w:rPr>
          <w:rFonts w:cs="Times New Roman"/>
          <w:szCs w:val="24"/>
        </w:rPr>
      </w:pPr>
    </w:p>
    <w:p w:rsidR="000A6993" w:rsidRDefault="000A6993" w:rsidP="00894407">
      <w:pPr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Le contrôle de l’exécution par la Cour Interaméricaine des Droits de l’Homme (CIDH), pari gagnant ou échec autoprogrammé</w:t>
      </w:r>
    </w:p>
    <w:p w:rsidR="00894407" w:rsidRPr="000A6993" w:rsidRDefault="00385378" w:rsidP="00894407">
      <w:pPr>
        <w:ind w:left="284"/>
        <w:rPr>
          <w:rFonts w:cs="Times New Roman"/>
          <w:i/>
          <w:szCs w:val="24"/>
        </w:rPr>
      </w:pPr>
      <w:proofErr w:type="gramStart"/>
      <w:r w:rsidRPr="000A6993">
        <w:rPr>
          <w:rFonts w:cs="Times New Roman"/>
          <w:i/>
          <w:szCs w:val="24"/>
        </w:rPr>
        <w:t>par</w:t>
      </w:r>
      <w:proofErr w:type="gramEnd"/>
      <w:r w:rsidRPr="000A6993">
        <w:rPr>
          <w:rFonts w:cs="Times New Roman"/>
          <w:i/>
          <w:szCs w:val="24"/>
        </w:rPr>
        <w:t xml:space="preserve"> </w:t>
      </w:r>
      <w:r w:rsidR="00894407" w:rsidRPr="000A6993">
        <w:rPr>
          <w:rFonts w:cs="Times New Roman"/>
          <w:i/>
          <w:szCs w:val="24"/>
        </w:rPr>
        <w:t>Mathilde DESURMON</w:t>
      </w:r>
    </w:p>
    <w:p w:rsidR="00894407" w:rsidRPr="00ED6D7D" w:rsidRDefault="00894407" w:rsidP="00894407">
      <w:pPr>
        <w:rPr>
          <w:rFonts w:cs="Times New Roman"/>
          <w:szCs w:val="24"/>
        </w:rPr>
      </w:pPr>
      <w:bookmarkStart w:id="0" w:name="_GoBack"/>
      <w:bookmarkEnd w:id="0"/>
    </w:p>
    <w:p w:rsidR="00894407" w:rsidRDefault="00894407" w:rsidP="00894407">
      <w:pPr>
        <w:rPr>
          <w:rFonts w:cs="Times New Roman"/>
          <w:szCs w:val="24"/>
        </w:rPr>
      </w:pPr>
    </w:p>
    <w:p w:rsidR="00894407" w:rsidRDefault="00894407" w:rsidP="00894407">
      <w:pPr>
        <w:rPr>
          <w:rFonts w:cs="Times New Roman"/>
          <w:szCs w:val="24"/>
        </w:rPr>
      </w:pPr>
      <w:r>
        <w:rPr>
          <w:rFonts w:cs="Times New Roman"/>
          <w:szCs w:val="24"/>
        </w:rPr>
        <w:t>CONCLUSION</w:t>
      </w:r>
    </w:p>
    <w:p w:rsidR="00894407" w:rsidRDefault="00385378" w:rsidP="00894407">
      <w:pPr>
        <w:ind w:left="284"/>
        <w:rPr>
          <w:rFonts w:cs="Times New Roman"/>
          <w:szCs w:val="24"/>
        </w:rPr>
      </w:pPr>
      <w:proofErr w:type="gramStart"/>
      <w:r w:rsidRPr="003C0F75">
        <w:rPr>
          <w:rFonts w:cs="Times New Roman"/>
          <w:i/>
          <w:szCs w:val="24"/>
        </w:rPr>
        <w:t>p</w:t>
      </w:r>
      <w:r>
        <w:rPr>
          <w:rFonts w:cs="Times New Roman"/>
          <w:i/>
          <w:szCs w:val="24"/>
        </w:rPr>
        <w:t>ar</w:t>
      </w:r>
      <w:proofErr w:type="gramEnd"/>
      <w:r w:rsidRPr="003C0F75">
        <w:rPr>
          <w:rFonts w:cs="Times New Roman"/>
          <w:i/>
          <w:szCs w:val="24"/>
        </w:rPr>
        <w:t xml:space="preserve"> </w:t>
      </w:r>
      <w:r w:rsidR="00894407">
        <w:rPr>
          <w:rFonts w:cs="Times New Roman"/>
          <w:szCs w:val="24"/>
        </w:rPr>
        <w:t>Hubert ALCARAZ</w:t>
      </w:r>
    </w:p>
    <w:p w:rsidR="00CB3EB9" w:rsidRDefault="00CB3EB9"/>
    <w:sectPr w:rsidR="00CB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68AD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B9"/>
    <w:rsid w:val="000A6993"/>
    <w:rsid w:val="001C3044"/>
    <w:rsid w:val="00385378"/>
    <w:rsid w:val="003C0F75"/>
    <w:rsid w:val="00894407"/>
    <w:rsid w:val="00AA41DA"/>
    <w:rsid w:val="00C12601"/>
    <w:rsid w:val="00C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23BA"/>
  <w15:chartTrackingRefBased/>
  <w15:docId w15:val="{C1907C02-3CDB-4681-B96F-D7F987A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B9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B3EB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3EB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3EB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3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3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3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3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3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3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3EB9"/>
    <w:rPr>
      <w:rFonts w:ascii="Times New Roman" w:eastAsiaTheme="majorEastAsia" w:hAnsi="Times New Roman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3EB9"/>
    <w:rPr>
      <w:rFonts w:ascii="Times New Roman" w:eastAsiaTheme="majorEastAsia" w:hAnsi="Times New Roman" w:cstheme="majorBidi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B3EB9"/>
    <w:rPr>
      <w:rFonts w:ascii="Times New Roman" w:eastAsiaTheme="majorEastAsia" w:hAnsi="Times New Roman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3E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B3E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B3E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B3EB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B3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B3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SSH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FOURNIER</dc:creator>
  <cp:keywords/>
  <dc:description/>
  <cp:lastModifiedBy>CLAUDE FOURNIER</cp:lastModifiedBy>
  <cp:revision>3</cp:revision>
  <dcterms:created xsi:type="dcterms:W3CDTF">2020-06-09T12:13:00Z</dcterms:created>
  <dcterms:modified xsi:type="dcterms:W3CDTF">2020-06-09T12:52:00Z</dcterms:modified>
</cp:coreProperties>
</file>